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Описание проекта, в котором применена практика вовлечения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14010"/>
        <w:tblGridChange w:id="0">
          <w:tblGrid>
            <w:gridCol w:w="1485"/>
            <w:gridCol w:w="140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Создание территории для комфортного времяпрепровождения горожан и гостей города Карачаевск, гармоничного развития личности в условиях социально-экономического прогресса, а также благоприятного инвестиционного климата за счет рационального использования материальных, финансовых и человеческих ресурсов, сбережения и приумножения уникального природного, исторического и культурного наследия города Карачаевск.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Проектная группа “ЯРУС”, ГенпроектЮг, архитектурная команда LL,  муниципальное образование городской  округ «Город Карачаевск», Центр молодежного инновационного творчества в г. Карачаевск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Проблема/задачи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before="48" w:line="276" w:lineRule="auto"/>
              <w:ind w:right="-580.8000000000015"/>
              <w:rPr>
                <w:rFonts w:ascii="Roboto" w:cs="Roboto" w:eastAsia="Roboto" w:hAnsi="Robo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​Проблема: в настоящее время Зеленый остров в городе Карачаевск представляет собой участок площадью 7,5 га, расположенный вдоль федеральной трассы по направлению до курортного поселка Домбай, не имеющий благоустроенной рекреационной среды, помимо тропиночной</w:t>
              <w:br w:type="textWrapping"/>
              <w:t xml:space="preserve"> сети и дорожек с внедренными местами отдыха, имеющие низкий уровень привлекательности. Территория парка свободна и любима для посещений жителями и гостями города. В рамках разработки  проекта на V Всероссийский конкурс лучших практик благоустройства в малых городах и исторических поселениях, территория получит федеральное финансирование на реализацию. </w:t>
              <w:br w:type="textWrapping"/>
              <w:br w:type="textWrapping"/>
              <w:t xml:space="preserve">Задачи городского развития: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after="0" w:afterAutospacing="0" w:before="43.2" w:line="276" w:lineRule="auto"/>
              <w:ind w:left="720" w:right="-571.2000000000012" w:hanging="360"/>
              <w:rPr>
                <w:rFonts w:ascii="Roboto" w:cs="Roboto" w:eastAsia="Roboto" w:hAnsi="Robo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Создать круглогодично востребованное жителями и гостями города общественное пространство;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76" w:lineRule="auto"/>
              <w:ind w:left="720" w:right="-571.2000000000012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highlight w:val="white"/>
                <w:rtl w:val="0"/>
              </w:rPr>
              <w:t xml:space="preserve">Активировать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творческие сообщества, стимулировать событийные и спортивные инициативы, повысить качество и количество городских мероприятий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before="0" w:beforeAutospacing="0" w:line="276" w:lineRule="auto"/>
              <w:ind w:left="720" w:right="-571.2000000000012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Обеспечить круглогодичность и мультиформатность открытых площадок для общего пользования на базе Высокогорно-креативного кластера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48" w:line="276" w:lineRule="auto"/>
              <w:ind w:left="264.00000000000006" w:right="-576.0000000000014" w:firstLine="302.4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- Создать условия для появления инвестиций, бизнеса и сервисов на острове, приносящих дополнительную прибыль в бюджет города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48" w:line="276" w:lineRule="auto"/>
              <w:ind w:left="264.00000000000006" w:right="-580.8000000000015" w:firstLine="302.4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- Создание разнообразных зон отдыха, спорта и образования для всех социальных групп, в т.ч. для маломобильных групп населения; 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43.2" w:line="276" w:lineRule="auto"/>
              <w:ind w:left="264.00000000000006" w:right="-580.8000000000015" w:firstLine="302.4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- Выработка стратегии и пошаговых действий по стратегическому развитию города и туристического потенциала;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Мотивация для вовлечения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В рамках подготовки проекта было выявлено множество заинтересованных сообществ, которые в дальнейшем сформировали сообщество развития “Зеленого острова”. Во время серии  воркшопов было выявлено мощное молодежно-спортивное сообщество по развитию креативных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индустрий.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По итогу проектной команды,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была сформирована рабочая группа по развитию и приземлению горно-креативного кластера на территории Зеленого острова, а также команда по продвижению и информированию населения среди известных блогеров, лидеров общественных мнений.  </w:t>
              <w:br w:type="textWrapping"/>
              <w:t xml:space="preserve">Благодаря комплексному подходу к формированию команд территориального развития, первого Высокогорного-креативного кластера на Северном Кавказе территория обретет новые смыслы и значительно разовьет туризм по дороге в горнолыжный поселок Домбай.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Парк имеет все шансы стать главной локацией креативного направления по дороге на курорты Карачаево-Черкесии.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Предмет участия (какая цель вовлечения)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Комплексный подход к развитию территорий с вовлечением горожан, бизнеса, стейкхолдеров с учетом значимости территории, как единственной рекреации в черте города. 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Способ коммуникации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Онлайн и оффлайн взаимодействия. Исследовательская экспедиция, очные встречи, семинары, колл-центр, интервьирование экспертов, социологические опросы, консультации, блиц-интервью на улице, новостные и информационные рассылки, игры, презентация и корректировка проекта.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Механизмы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Онлайн механизмы взаимодействия:</w:t>
              <w:br w:type="textWrapping"/>
              <w:t xml:space="preserve">1. Официальные источники: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официальный сайт города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Федеральные СМИ: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ТАСС СКФО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Региональные СМИ: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ГТРК КЧР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Местные СМИ: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Къарачай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Сайт и социальные сети проектной группы ЯРУС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и партнёров:</w:t>
            </w:r>
            <w:hyperlink r:id="rId14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Мой бизнес, ЦМИТ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Email : Karachaevsk_1927@mail.ru</w:t>
            </w:r>
          </w:p>
          <w:p w:rsidR="00000000" w:rsidDel="00000000" w:rsidP="00000000" w:rsidRDefault="00000000" w:rsidRPr="00000000" w14:paraId="00000020">
            <w:pPr>
              <w:spacing w:after="240" w:lineRule="auto"/>
              <w:ind w:left="0" w:firstLine="0"/>
              <w:rPr>
                <w:rFonts w:ascii="Roboto" w:cs="Roboto" w:eastAsia="Roboto" w:hAnsi="Roboto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 Сервисы и платформы: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u w:val="none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Сервис "мой город"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u w:val="none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Платформа MIRO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u w:val="none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графический онлайн-редактор Figma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u w:val="none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Информационные слои в google maps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u w:val="none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Собрание в Skype</w:t>
              </w:r>
            </w:hyperlink>
            <w:r w:rsidDel="00000000" w:rsidR="00000000" w:rsidRPr="00000000">
              <w:rPr>
                <w:rtl w:val="0"/>
              </w:rPr>
              <w:t xml:space="preserve">/Zoom/Discord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u w:val="none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Доска с задачами Trello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 Социальные сети: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  <w:u w:val="none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Группа в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Страница в instagram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Чаты с администрацией WhatsApp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2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Беседа в телеграме с жителями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Рабочий чат WhatsApp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2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Обсуждение с командой разработчиков в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Сообщества в контакте:</w:t>
            </w:r>
            <w:hyperlink r:id="rId2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 ЦМИТ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155cc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,</w:t>
            </w:r>
            <w:hyperlink r:id="rId29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подслушано в карачаевске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Оффлайн механизмы взаимодействия:</w:t>
              <w:br w:type="textWrapping"/>
              <w:t xml:space="preserve">Проектные семинары по выбору территории, мероприятий, проработки стратегии, формирования концепции жизненного цикла проекта, воркшопы с экспертами, горожанами, встречи с бизнес сообществом, создание событийной повестки для молодежи, проведение уличных социологических опросов с привлечением волонтеров и т.д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Механизмы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Дистанционный механизм: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Формирование стратегии вовлечения аудитории; гипотезы о запросах ключевых групп населения; согласование стилистики подачи контента; включение выявленных активных сообществ в работу; анонсированию мероприятий.</w:t>
            </w:r>
          </w:p>
          <w:p w:rsidR="00000000" w:rsidDel="00000000" w:rsidP="00000000" w:rsidRDefault="00000000" w:rsidRPr="00000000" w14:paraId="00000032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Натурный механизм: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Создание контент-стратегии на основе аналитики; знакомство с командой проекта, территорией, жителями, выявление приоритетных территорий, соучаствующее проектирование.</w:t>
            </w:r>
          </w:p>
          <w:p w:rsidR="00000000" w:rsidDel="00000000" w:rsidP="00000000" w:rsidRDefault="00000000" w:rsidRPr="00000000" w14:paraId="00000033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Социо-культурный механизм: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Характеристика потенциальных респондентов; персональная обработка данных; формирование портрета горожанина; формирование рабочей группы проекта; запросы первичных социальных групп, запуск жизненного цикла проекта на всех стадиях реализации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Механизм отбора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Аналитика социальных сетей через сервис popsters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поиск ключевых групп пользователей через "Инцидент-менеджмент"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Анализ виртуальных сообществ Карачаевска на основе методологии Social network analysis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Анализ визуальной репрезентации на основе классификации фото-контента соц.сетей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Формализованное онлайн-интервью с жителями города Карачаевск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Список заинтересованных сторон в области бизнеса, событийки от администрации города и университета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240" w:lineRule="auto"/>
              <w:ind w:left="720" w:hanging="360"/>
              <w:rPr>
                <w:rFonts w:ascii="Roboto" w:cs="Roboto" w:eastAsia="Roboto" w:hAnsi="Roboto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Распространение информации о проектных семинарах через волонтерские штабы</w:t>
            </w:r>
          </w:p>
          <w:p w:rsidR="00000000" w:rsidDel="00000000" w:rsidP="00000000" w:rsidRDefault="00000000" w:rsidRPr="00000000" w14:paraId="0000003C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Для выявления типов сообществ и их наиболее активных участников был построен граф виртуальных объединений, в котором узлами являются сами сообщества, а ребрами их участники, в случае, если они состоят в не менее, чем 5 сообществах аналогичной направленности.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Результат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АНО Горно-креативный кластер - созданное объединение творческих резидентов Кавказа, которые нацелено на развитие творчества, бизнеса и туризма. Традиции, фольклор и ремесло интегрированы в современные концепции инновационного творчества.  Данная организация, вместе с КЧГУ и ЦМИТ станет основными операторами территории, где ключевым объекта станет резиденция горно-креативного кластера. Вступление в Федерацию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креативных индустрий и закрепление за собой бренда первой на Кавказе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официальной организации, которая развивает креативную экономику Северо-Кавказского федерального округа и организует сообщества в этом направлении по развитию территории “зеленого острова”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Результат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Получнеие финансирование на реализация проекта благоустройства “Зеленый остров” в городе Карачаевск, Карачаево-Черкесской республики.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Повторяемость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Проводимость мероприятий: 2 раза в месяц (местного и районного значения)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Бюджет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Общий бюджет проекта составляет -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118 589,37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- тыс. руб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kky601hyluy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81if8bajquu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clxv6na0wyq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w34xg9f1ksm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bhhqrzym1n3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5r4hfh37ntm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43.2" w:line="276" w:lineRule="auto"/>
        <w:ind w:right="-585.6000000000017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3.8582677165355" w:top="1133.8582677165355" w:left="1700.7874015748032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join.skype.com/bvZXUNDCe4Sd" TargetMode="External"/><Relationship Id="rId22" Type="http://schemas.openxmlformats.org/officeDocument/2006/relationships/hyperlink" Target="https://vk.com/gorod_konkurs_kchr" TargetMode="External"/><Relationship Id="rId21" Type="http://schemas.openxmlformats.org/officeDocument/2006/relationships/hyperlink" Target="https://trello.com/b/zsw7RWP4/%D0%BA%D0%B0%D1%80%D0%B0%D1%87%D0%B0%D0%B5%D0%B2%D1%81%D0%BA" TargetMode="External"/><Relationship Id="rId24" Type="http://schemas.openxmlformats.org/officeDocument/2006/relationships/hyperlink" Target="https://chat.whatsapp.com/HWPy7RpT6gy6inqxqumt1i" TargetMode="External"/><Relationship Id="rId23" Type="http://schemas.openxmlformats.org/officeDocument/2006/relationships/hyperlink" Target="https://www.instagram.com/gorod.konkurs_kch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trkkchr.ru/" TargetMode="External"/><Relationship Id="rId26" Type="http://schemas.openxmlformats.org/officeDocument/2006/relationships/hyperlink" Target="https://chat.whatsapp.com/HgCs7lQitME0JpAEX8PyRm" TargetMode="External"/><Relationship Id="rId25" Type="http://schemas.openxmlformats.org/officeDocument/2006/relationships/hyperlink" Target="https://t.me/gorod_konkurs_kchr" TargetMode="External"/><Relationship Id="rId28" Type="http://schemas.openxmlformats.org/officeDocument/2006/relationships/hyperlink" Target="https://vk.com/wall-70420029" TargetMode="External"/><Relationship Id="rId27" Type="http://schemas.openxmlformats.org/officeDocument/2006/relationships/hyperlink" Target="https://vk.com/im?sel=c177" TargetMode="External"/><Relationship Id="rId5" Type="http://schemas.openxmlformats.org/officeDocument/2006/relationships/styles" Target="styles.xml"/><Relationship Id="rId6" Type="http://schemas.openxmlformats.org/officeDocument/2006/relationships/hyperlink" Target="http://karachaevsk.info/" TargetMode="External"/><Relationship Id="rId29" Type="http://schemas.openxmlformats.org/officeDocument/2006/relationships/hyperlink" Target="https://vk.com/public151878702" TargetMode="External"/><Relationship Id="rId7" Type="http://schemas.openxmlformats.org/officeDocument/2006/relationships/hyperlink" Target="https://tass.ru/severnyy-kavkaz" TargetMode="External"/><Relationship Id="rId8" Type="http://schemas.openxmlformats.org/officeDocument/2006/relationships/hyperlink" Target="https://tass.ru/severnyy-kavkaz" TargetMode="External"/><Relationship Id="rId30" Type="http://schemas.openxmlformats.org/officeDocument/2006/relationships/hyperlink" Target="https://vk.com/public151878702" TargetMode="External"/><Relationship Id="rId11" Type="http://schemas.openxmlformats.org/officeDocument/2006/relationships/hyperlink" Target="https://www.gazeta-karachai.ru/" TargetMode="External"/><Relationship Id="rId10" Type="http://schemas.openxmlformats.org/officeDocument/2006/relationships/hyperlink" Target="http://gtrkkchr.ru/" TargetMode="External"/><Relationship Id="rId13" Type="http://schemas.openxmlformats.org/officeDocument/2006/relationships/hyperlink" Target="https://yarus.group/" TargetMode="External"/><Relationship Id="rId12" Type="http://schemas.openxmlformats.org/officeDocument/2006/relationships/hyperlink" Target="https://www.gazeta-karachai.ru/" TargetMode="External"/><Relationship Id="rId15" Type="http://schemas.openxmlformats.org/officeDocument/2006/relationships/hyperlink" Target="https://businesskchr.ru/czentr-molodezhnogo-innovaczionnogo-tvorchestva/" TargetMode="External"/><Relationship Id="rId14" Type="http://schemas.openxmlformats.org/officeDocument/2006/relationships/hyperlink" Target="https://businesskchr.ru/czentr-molodezhnogo-innovaczionnogo-tvorchestva/" TargetMode="External"/><Relationship Id="rId17" Type="http://schemas.openxmlformats.org/officeDocument/2006/relationships/hyperlink" Target="https://miro.com/app/board/o9J_lbDYG7I=/" TargetMode="External"/><Relationship Id="rId16" Type="http://schemas.openxmlformats.org/officeDocument/2006/relationships/hyperlink" Target="https://kchr.yaruc.ru/" TargetMode="External"/><Relationship Id="rId19" Type="http://schemas.openxmlformats.org/officeDocument/2006/relationships/hyperlink" Target="https://www.google.com/maps/d/u/1/edit?mid=1C7wURWYjynU2h7BYa9nJsXdOS0rH7M84" TargetMode="External"/><Relationship Id="rId18" Type="http://schemas.openxmlformats.org/officeDocument/2006/relationships/hyperlink" Target="https://www.figma.com/file/U6KwICKvERJWlBotkKD8SU/Untitled?node-id=0%3A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